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ХАНТЫ-МАНСИЙСКИЙ АВТОНОМНЫЙ ОКРУГ - ЮГРА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ХАНТЫ-МАНСИЙСКИЙ РАЙОН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СЕЛЬСКОЕ ПОСЕЛЕНИЕ ЦИНГАЛЫ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СОВЕТ ДЕПУТАТОВ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РЕШЕНИЕ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20.06.2012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21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с. Цингалы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 утверждении генерального плана</w:t>
      </w: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сельского поселения Цингалы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(Изменен решением Совета депутатов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5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от 03.05.2017 № 13</w:t>
        </w:r>
      </w:hyperlink>
      <w:r w:rsidRPr="005B7D59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(Изменен решением Совета депутатов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6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от 30.11.2018 № 61</w:t>
        </w:r>
      </w:hyperlink>
      <w:r w:rsidRPr="005B7D59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(Изменен решением Совета депутатов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7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от 12.12.2018 № 72</w:t>
        </w:r>
      </w:hyperlink>
      <w:r w:rsidRPr="005B7D59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В целях создания условий для устойчивого развития сельского поселения Цингалы, руководствуясь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8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Градостроительным кодексом</w:t>
        </w:r>
      </w:hyperlink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Российской Федерации, Федеральным законом от 06.10.2003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9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№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131-ФЗ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«Об общих принципах организации</w:t>
        </w:r>
      </w:hyperlink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местного самоуправления в Российской Федерации», законодательством Ханты-Мансийского автономного округа-Югры,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10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Уставом</w:t>
        </w:r>
      </w:hyperlink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сельского поселения Цингалы, учитывая протоколы публичных слушаний, заключение о результатах публичных слушаний по проекту генерального плана сельского поселения Цингалы,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Совет депутатов сельского поселения Цингалы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РЕШИЛ: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1. Утвердить генерального плана сельского поселения Цингалы.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2. Главе сельского поселения Цингалы направить настоящее Решение и генерального плана сельского поселения Цингалы в части территории населенного пункта село Цингалы, губернатору Ханты-Мансийского автономного округа-Югры.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3. Решение вступает в силу со дня его опубликования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(обнародования).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Глава сельского поселения,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исполняющий полномочия председателя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Совета депутатов сельского поселения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Цингалы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А.И. Козлов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Toc100551360"/>
      <w:r w:rsidRPr="005B7D59">
        <w:rPr>
          <w:rFonts w:ascii="Times New Roman" w:hAnsi="Times New Roman" w:cs="Times New Roman"/>
          <w:sz w:val="28"/>
          <w:szCs w:val="28"/>
          <w:lang w:val="ru-RU"/>
        </w:rPr>
        <w:lastRenderedPageBreak/>
        <w:t>ООО ПК «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Техмаш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»</w:t>
      </w:r>
      <w:bookmarkEnd w:id="0"/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ПРОЕКТ СИСТЕМЫ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ГРАДОСТРОИТЕЛЬНОГО КАДАСТРА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ХАНТЫ-МАНСИЙСКОГО РАЙОНА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ХМАО-ЮГРЫ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МУНИЦИПАЛЬНОЕ ОБРАЗОВАНИЕ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СЕЛЬСКОЕ ПОСЕЛЕНИЕ ЦИНГАЛЫ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населенный пункт с.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ЦИНГАЛЫ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ГЕНЕРАЛЬНЫЙ ПЛАН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ПОЛОЖЕНИЯ О ТЕРРИТОРИАЛЬНОМ ПЛАНИРОВАНИИ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ПРОЕКТ СИСТЕМЫ ГРАДОСТРОИТЕЛЬНОГО КАДАСТРА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ХАНТЫ-МАНСИЙСКОГО РАЙОНА ХМАО-ЮГРЫ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СЕЛЬСКОЕ ПОСЕЛЕНИЕ ЦИНГАЛЫ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населенный пункт с.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ЦИНГАЛЫ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ГЕНЕРАЛЬНЫЙ ПЛАН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ПОЛОЖЕНИЯ О ТЕРРИТОРИАЛЬНОМ ПЛАНИРОВАНИИ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Генеральный заказчик:</w:t>
      </w: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Администрации муниципального образования Ханты-Мансийский район ХМАО-ЮГРЫ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Заказчик:</w:t>
      </w: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Департамент строительства, архитектуры и ЖКХ администрации Ханты-Мансийского района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Исполнитель: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ООО ПК «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ТехМаш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Шифр: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2011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Pr="005B7D59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Содержание: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11" w:anchor="_Toc154215316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1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ОБЩИЕ ПОЛОЖЕНИЯ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12" w:anchor="_Toc154215317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2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ЦЕЛИ И ЗАДАЧИ ТЕРРИТОРИАЛЬНОГО ПЛАНИРОВАНИЯ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13" w:anchor="_Toc154215318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2.1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Цели территориального планирования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14" w:anchor="_Toc154215319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2.2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Задачи территориального планирования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15" w:anchor="_Toc154215320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2.2.1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Задачи пространственного развития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16" w:anchor="_Toc154215321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2.2.2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Задачи по развитию и размещению объектов капитального строительства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17" w:anchor="_Toc154215322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2.2.3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Задачи по улучшению экологической обстановки и охране окружающей среды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18" w:anchor="_Toc154215323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2.2.4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Задачи по инженерной подготовке и защите территории от чрезвычайных ситуаций природного и техногенного характера: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19" w:anchor="_Toc154215324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2.2.5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Задачи по благоустройству и озеленению территории и санитарной очистке территории: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20" w:anchor="_Toc154215325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2.2.6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Задачи по нормативному правовому обеспечению реализации генерального плана: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21" w:anchor="_Toc154215326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3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ПЕРЕЧЕНЬ ОСНОВНЫХ МЕРОПРИЯТИЙ ПО ТЕРРИТОРИАЛЬНОМУ ПЛАНИРОВАНИЮ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22" w:anchor="_Toc154215327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3.1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Мероприятия по развитию функционально-планировочной структуры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23" w:anchor="_Toc154215328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3.2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Мероприятия по развитию основных функциональных зон для обеспечения размещения объектов капитального строительства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24" w:anchor="_Toc154215329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3.2.1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Жилые зоны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25" w:anchor="_Toc154215330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3.2.2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Общественно-деловые зоны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26" w:anchor="_Toc154215331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3.2.3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Рекреационные зоны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27" w:anchor="_Toc154215332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3.3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Мероприятия по развитию и размещению объектов капитального строительства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28" w:anchor="_Toc154215333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3.3.1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Развитие и размещение объектов жилья и социально значимых объектов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29" w:anchor="_Toc154215334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3.3.2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Развитие и размещение объектов транспортной инфраструктуры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30" w:anchor="_Toc154215335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3.3.3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Развитие и размещение объектов инженерной инфраструктуры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31" w:anchor="_Toc154215336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3.4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Мероприятия по охране окружающей среды.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32" w:anchor="_Toc154215337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3.4.1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Мероприятия по улучшению качеств атмосферного воздуха: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33" w:anchor="_Toc154215338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3.4.2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Мероприятия по охране водных объектов: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34" w:anchor="_Toc154215339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3.4.3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Мероприятия по охране и восстановлению почв: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35" w:anchor="_Toc154215340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3.4.4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Мероприятия по охране недр, минерально-сырьевые ресурсов, подземных вод: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36" w:anchor="_Toc154215341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3.5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Мероприятия по инженерной подготовке территорий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37" w:anchor="_Toc154215342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3.6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Мероприятия по благоустройству, озеленению и санитарной очистке территорий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38" w:anchor="_Toc154215343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3.6.1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Мероприятия по озеленению населенного пункта: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hyperlink r:id="rId39" w:anchor="_Toc154215344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3.6.2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Мероприятия по санитарной очистке территории: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40" w:anchor="_Toc154215345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3.7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Мероприятия по предотвращению чрезвычайных ситуаций природного и техногенного характера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41" w:anchor="_Toc154215346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3.8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Мероприятия по нормативному правовому обеспечению реализации генерального плана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42" w:anchor="_Toc154215347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4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ЗЕМЕЛЬНЫЕ РЕСУРСЫ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43" w:anchor="_Toc154215348" w:history="1"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4.1</w:t>
        </w:r>
        <w:r w:rsidRPr="005B7D59">
          <w:rPr>
            <w:rStyle w:val="a4"/>
            <w:rFonts w:ascii="Times New Roman" w:hAnsi="Times New Roman" w:cs="Times New Roman"/>
            <w:sz w:val="28"/>
            <w:szCs w:val="28"/>
          </w:rPr>
          <w:t> </w:t>
        </w:r>
        <w:r w:rsidRPr="005B7D59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>Анализ наличия земель различных категорий и обоснование их перевода в земли поселений.</w:t>
        </w:r>
      </w:hyperlink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Pr="005B7D59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5B7D59" w:rsidRPr="005B7D59" w:rsidRDefault="005B7D59" w:rsidP="005B7D59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5B7D59">
        <w:rPr>
          <w:rFonts w:ascii="Times New Roman" w:hAnsi="Times New Roman" w:cs="Times New Roman"/>
          <w:sz w:val="28"/>
          <w:szCs w:val="28"/>
        </w:rPr>
        <w:t>           </w:t>
      </w:r>
      <w:bookmarkStart w:id="1" w:name="_Toc154215316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ОБЩИЕ ПОЛОЖЕНИЯ</w:t>
      </w:r>
      <w:bookmarkEnd w:id="1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1. Настоящие Положения о территориальном планировании населенного пункта Цингалы (далее-населенный пункт), являющегося административным центром муниципального образования сельского поселения Цингалы Ханты-Мансийского района Ханты-Мансийского автономного округа - Югры (далее-Положения) подготовлено в соответствии со ст.23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44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Градостроительного кодекса</w:t>
        </w:r>
      </w:hyperlink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Российской Федерации в качестве текстовой части материалов в составе генерального плана сельского поселения Цингалы (далее-поселение), содержащей цели и задачи территориального планирования, перечень мероприятий по территориальному планированию с указанием последовательности их выполнения.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2. Территориальное планирование населенного пункта осуществляется в соответствии с действующим федеральным и окружным законодательством, муниципальными правовыми актами поселения и направлено на комплексное решение задач развития поселения и решение вопросов местного значения, установленных Федеральным законом от 06.10.2003 г.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45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№ 131-ФЗ «Об общих принципах организации</w:t>
        </w:r>
      </w:hyperlink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местного самоуправления в Российской Федерации».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3. Генеральный план поселения подготовлен в рамках комплексного проекта управления развитием территории муниципального образования, включающего в себя также проект плана реализации генерального плана, документацию по планировке территории (проекты планировки), проект правил землепользования и застройки.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При подготовке генерального плана поселения были учтены социально-экономические, демографические и иные показатели развития поселения, а также мероприятия по строительству объектов капитального строительства на территории поселения, предусмотренные в Законах Ханты-Мансийского автономного округа-Югры: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1) Закон Ханты-Мансийского автономного округа-Югры от 11.11.2005 г. № 103-оз «О программе Ханты-Мансийского автономного округа-Югры «Улучшение жилищных условий населения Ханты-Мансийского автономного округа-Югры» на 2005-2014 годы»;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2) Закон Ханты-Мансийского автономного округа-Югры от 30.12.2005 г. № 154-оз «О программе Ханты-Мансийского автономного округа-Югры «Реализация приоритетного национального проекта «Образование» в Ханты-Мансийском автономном округе-Югре» на 2006-2007 годы»;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3) Закон Ханты-Мансийского автономного округа-Югры от 30.12.2005 г. № 152-оз «О программе Ханты-Мансийского автономного округа-Югры «Реализация приоритетного национального проекта в сфере здравоохранения на территории Ханты-Мансийском автономном округе-Югры» на 2006-2007 годы»;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lastRenderedPageBreak/>
        <w:t>4) Закон Ханты-Мансийского автономного округа-Югры от 30.12.2005 г. № 151-оз «О программе Ханты-Мансийского автономного округа-Югры «Реализация приоритетного национального проекта «Развитие агропромышленного комплекса» в Ханты-Мансийском автономном округе-Югре» на 2006-2007 годы»;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5) Закон Ханты-Мансийского автономного округа-Югры от 26.12.2005 г. № 148-оз «О программе Ханты-Мансийского автономного округа-Югры «Дети Югры» на 2006-2010 годы»;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6) Закон Ханты-Мансийского автономного округа-Югры от 30.12.2003 г. № 82-оз «О программе государственной поддержки малого предпринимательства в Ханты-Мансийском автономном округе на 2004-2010 годы».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4. Основные задачи генерального плана поселения: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1) выявление проблем градостроительного развития территории поселения в целом и населенного пункта в частности, обеспечение их решения на основе анализа параметров муниципальной среды, существующих ресурсов жизнеобеспечения, а также принятых градостроительных решений;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2) определение основных направлений и параметров пространственного развития поселения и населенного пункта, обеспечивающих создание инструмента управления развитием территории поселения на основе баланса интересов федеральных, региональных и местных органов власти;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3) создание электронного генерального плана на основе новейших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 деятельности.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5. Генеральный план поселения устанавливает: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1) функциональное зонирование территории поселения;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2) характер развития поселения с определением подсистем социально-культурных и общественно-деловых центров;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3) направления развития различных типов жилищного строительства за счет сноса ветхого, аварийного и фенольного жилья, а также путем освоения незастроенных территорий, обладающих высокой градостроительной ценностью;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4) характер развития сети транспортных и инженерных узлов и коммуникаций, социальной и производственной инфраструктур;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5) характер развития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средозащитной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и рекреационной инфраструктуры.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6. Генеральный план поселения разработан на расчетный срок до 2025 года. Этапы реализации генерального плана, их сроки определяются органами местного самоуправления поселения исходя из складывающейся социально-экономической обстановки в поселении и округе, финансовых возможностей местного бюджета, сроков и этапов реализации соответствующих федеральных и окружных целевых программ в части, затрагивающей территорию поселения, приоритетных национальных проектов.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lastRenderedPageBreak/>
        <w:t>7. Реализация генерального плана поселения осуществляется в границах муниципального образования сельского поселения Цингалы на основании плана реализации генерального плана поселения, разработанного в соответствии с градостроительным законодательством и утверждаемого главой местной администрации поселения в течение трех месяцев со дня утверждения генерального плана.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8. План реализации генерального плана поселения является основанием для разработки и принятия муниципальных целевых градостроительных и иных программ развития поселения.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5B7D59">
        <w:rPr>
          <w:rFonts w:ascii="Times New Roman" w:hAnsi="Times New Roman" w:cs="Times New Roman"/>
          <w:sz w:val="28"/>
          <w:szCs w:val="28"/>
        </w:rPr>
        <w:t>           </w:t>
      </w:r>
      <w:bookmarkStart w:id="2" w:name="_Toc142198051"/>
      <w:bookmarkStart w:id="3" w:name="_Toc154215317"/>
      <w:bookmarkEnd w:id="2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 И ЗАДАЧИ</w:t>
      </w: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ТЕРРИТОРИАЛЬНОГО ПЛАНИРОВАНИЯ</w:t>
      </w:r>
      <w:bookmarkStart w:id="4" w:name="_Toc142198052"/>
      <w:bookmarkEnd w:id="3"/>
      <w:bookmarkEnd w:id="4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5" w:name="_Toc154215318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 территориального планирования</w:t>
      </w:r>
      <w:bookmarkEnd w:id="5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Территориальное планирование направлено на определение функционального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назначения территорий поселения исходя из совокупности социальных, экономических, экологических и иных факторов в целях: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обеспечения устойчивого развития поселения;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формирования благоприятной среды жизнедеятельности;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сохранения объектов исторического и культурного наследия, уникальных природных объектов для настоящего и будущего поколений;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развития и модернизации инженерной, транспортной и социальной инфраструктур;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формирования комплексной инфраструктуры поселения, отвечающей современным требованиям, установленным действующим законодательством.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6" w:name="_Toc141946038"/>
      <w:bookmarkStart w:id="7" w:name="_Toc141946082"/>
      <w:bookmarkStart w:id="8" w:name="_Toc141946193"/>
      <w:bookmarkStart w:id="9" w:name="_Toc141946402"/>
      <w:bookmarkStart w:id="10" w:name="_Toc154215319"/>
      <w:bookmarkEnd w:id="6"/>
      <w:bookmarkEnd w:id="7"/>
      <w:bookmarkEnd w:id="8"/>
      <w:bookmarkEnd w:id="9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 территориального планирования</w:t>
      </w:r>
      <w:bookmarkEnd w:id="10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1" w:name="_Toc144628890"/>
      <w:bookmarkStart w:id="12" w:name="_Toc154215320"/>
      <w:bookmarkEnd w:id="11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 пространственного развития</w:t>
      </w:r>
      <w:bookmarkEnd w:id="12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Первой и основной задачей пространственного развития является создание благоприятной среды жизни и деятельности человека и условий для устойчивого развития поселения на перспективу путем достижения баланса экономических и экологических интересов.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Эта задача включает в себя ряд направлений, к основным из которых относятся следующие: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обеспечение экологически устойчивого развития территории путем создания условий для сохранения уникального природно-ресурсного потенциала территории, выполнение территорией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средоохранных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экологовоспроизводящих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функций;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увеличение инвестиционной привлекательности Ханты-Мансийского района в целом, и поселения Цингалы в частности, что повлечет за собой создание новых рабочих мест, повышение уровня жизни населения;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создание доступной и высокоэффективной социальной сферы обслуживания населения, в том числе возможность получения квалифицированных услуг в сфере образования и здравоохранения;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усовершенствование внешних и внутренних транспортных связей как основы укрепления экономической сферы, а также развития улично-дорожной сети;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создание условий для полноценной рекреации, разнообразных видов отдыха, занятий спортом.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Исходя из комплексного градостроительного анализа потенциала поселения, генеральным планом определены основные пути решения задач пространственного развития поселения и населенного пункта: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совершенствование пространственной структуры территории поселения и населенного пункта;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регенерация и развитие жилых территорий;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развитие зоны общественного центра и объектов социальной инфраструктуры;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реорганизация и развитие производственных территорий.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Генеральным планом определены способы решения обозначенных задач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пространственного развития поселения и населенного пункта.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3" w:name="_Toc144628891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Совершенствование пространственной структуры территории населенного пункта:</w:t>
      </w:r>
      <w:bookmarkEnd w:id="13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переход развития населенного пункта к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структурной, функциональной и средовой реорганизации и обустройству территории;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сохранение, развитие, визуальное раскрытие и акцентирование природно-ландшафтного каркаса, формируемого системой зеленых массивов и долин рек, и образующего природоохранную и рекреационную функциональную подсистему территории поселения;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структуризация жилых,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производственных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природных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территорий, трансформация в соответствии с общей моделью планировочной структуры поселения.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4" w:name="_Toc144628892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Развитие общественного центра и объектов социальной инфраструктуры:</w:t>
      </w:r>
      <w:bookmarkEnd w:id="14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развитие комплекса социальной инфраструктуры, обслуживания и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потребительского рынка — здравоохранения, образования, культуры, религии, торговли, досуга и рекреации, физической культуры и спорта;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организация деловых зон, включающих гостиницы, объекты досуга, обслуживания и торговли;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формирование в общественном центре благоустроенных и озелененных пешеходных пространств.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5" w:name="_Toc144628893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Реконструкция и развитие жилых территорий:</w:t>
      </w:r>
      <w:bookmarkEnd w:id="15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увеличение градостроительной емкости жилых территорий населенного пункта путем освоения внутрипоселковых территориальных резервов за счет реконструкции и уплотнения существующих жилых территорий;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формирование жилых комплексов на свободных от застройки территориях, отвечающих социальным требованиям доступности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объектов обслуживания, общественных центров, объектов досуга,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требованиям безопасности и комплексного благоустройства;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формирование многообразия жилой застройки, удовлетворяющее запросам различных групп потребителей;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увеличение объемов комплексной реконструкции и благоустройства жилых территорий, капитального ремонта жилых домов, ликвидация аварийного и ветхого жилищного фонда;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вынос с территории жилых кварталов объектов с негативным воздействием на окружающую среду, не соответствующих нормативным требованиям по отношению к застройке этих территорий.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6" w:name="_Toc144628894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Реорганизация и развитие производственных территорий:</w:t>
      </w:r>
      <w:bookmarkEnd w:id="16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полная или частичная реорганизация с изменением функционального использования производственных территорий, сохранение функции которых несовместимо с градостроительными, экономическими, санитарно-гигиеническими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требованиями, с последующим использованием указанных территорий для жилищного, общественно-делового строительства;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комплексное благоустройство территорий, сохраняющих свое производственное назначение,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смодернизацией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, перепрофилированием отдельных производств и объектов инфраструктуры.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7" w:name="_Toc144628895"/>
      <w:bookmarkStart w:id="18" w:name="_Toc154215321"/>
      <w:bookmarkStart w:id="19" w:name="_Toc141946040"/>
      <w:bookmarkStart w:id="20" w:name="_Toc141946084"/>
      <w:bookmarkStart w:id="21" w:name="_Toc141946195"/>
      <w:bookmarkStart w:id="22" w:name="_Toc141946404"/>
      <w:bookmarkEnd w:id="17"/>
      <w:bookmarkEnd w:id="18"/>
      <w:bookmarkEnd w:id="19"/>
      <w:bookmarkEnd w:id="20"/>
      <w:bookmarkEnd w:id="21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 по развитию и размещению объектов капитального строительства</w:t>
      </w:r>
      <w:bookmarkEnd w:id="22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3" w:name="_Toc144628896"/>
      <w:bookmarkStart w:id="24" w:name="_Toc141946085"/>
      <w:bookmarkStart w:id="25" w:name="_Toc141946196"/>
      <w:bookmarkEnd w:id="23"/>
      <w:bookmarkEnd w:id="24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Социальная инфраструктура</w:t>
      </w:r>
      <w:bookmarkEnd w:id="25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В целях обеспечения комфортной среды проживания и повышения качества жизни населения села необходимо обеспечить совершенствование комплекса социально-значимых объектов и жилья: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повышение качества жилищных условий путем регенерации существующего ветхого, аварийного фонда и строительства новых жилых комплексов, удовлетворяющих сложившейся специфики;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создание необходимых условий для получения качественных услуг на уровнях дошкольного, школьного образования;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обеспечение полного комплекса медицинских услуг за счет увеличения числа существующих объектов здравоохранения;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повышение уровня культурного развития и сохранение историко-культурного наследия путем строительства качественно-новых объектов;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сохранение физического здоровья населения и повышение уровня спортивного мастерства путем строительства физкультурно-спортивных комплексов общего пользования, дворовых спортивных площадок;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улучшение качества и доступности гарантированного спектра социально-бытовых услуг за счет расширения потребительского рынка;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развитие сферы коммунального обслуживания с целью обеспечения пожарной безопасности;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обеспечение занятости населения путем создания дополнительных мест приложения труда в сфере обслуживания, управления и производства, снижения административных барьеров на пути развития малого и среднего бизнеса.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6" w:name="_Toc144628897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Транспортная инфраструктура</w:t>
      </w:r>
      <w:bookmarkEnd w:id="26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Обеспечение качественного транспортного обслуживания населения путем совершенствования внутренних и внешних транспортных связей, реализуемых по следующим направлениям: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создание новых и модернизация существующих базовых объектов транспортной инфраструктуры;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реализация внешних транспортных связей путем интеграции в федеральные транспортные сети;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повышение качества внутренних транспортных связей за счет совершенствования всего транспортного каркаса и отдельных его элементов.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7" w:name="_Toc144628898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Инженерная инфраструктура</w:t>
      </w:r>
      <w:bookmarkEnd w:id="27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Предоставление качественных коммунальных услуг за счет развития инженерных систем, по следующим направлениям: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создание новых и модернизация существующих базовых объектов инженерной инфраструктуры;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развитие систем инженерных коммуникаций в сложившейся и перспективной застройке.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8" w:name="_Toc141946042"/>
      <w:bookmarkStart w:id="29" w:name="_Toc141946088"/>
      <w:bookmarkStart w:id="30" w:name="_Toc141946199"/>
      <w:bookmarkStart w:id="31" w:name="_Toc141946406"/>
      <w:bookmarkStart w:id="32" w:name="_Toc144628899"/>
      <w:bookmarkStart w:id="33" w:name="_Toc154215322"/>
      <w:bookmarkEnd w:id="28"/>
      <w:bookmarkEnd w:id="29"/>
      <w:bookmarkEnd w:id="30"/>
      <w:bookmarkEnd w:id="31"/>
      <w:bookmarkEnd w:id="32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 по улучшению экологической обстановки и охране окружающей среды</w:t>
      </w:r>
      <w:bookmarkEnd w:id="33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Обеспечение благоприятных условий жизнедеятельности настоящего и будущих поколений жителей поселения, сохранение и воспроизводство природных ресурсов, переход к устойчивому развитию.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Охрана от неблагоприятного антропогенного воздействия основных компонентов природной среды: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атмосферного воздуха;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поверхностных и подземных вод;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почв, растительности и животного мира.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34" w:name="_Toc144628900"/>
      <w:bookmarkStart w:id="35" w:name="_Toc154215323"/>
      <w:bookmarkStart w:id="36" w:name="_Toc141946045"/>
      <w:bookmarkStart w:id="37" w:name="_Toc141946091"/>
      <w:bookmarkStart w:id="38" w:name="_Toc141946202"/>
      <w:bookmarkStart w:id="39" w:name="_Toc141946409"/>
      <w:bookmarkEnd w:id="34"/>
      <w:bookmarkEnd w:id="35"/>
      <w:bookmarkEnd w:id="36"/>
      <w:bookmarkEnd w:id="37"/>
      <w:bookmarkEnd w:id="38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 по инженерной подготовке и защите территории от чрезвычайных ситуаций природного и техногенного характера:</w:t>
      </w:r>
      <w:bookmarkEnd w:id="39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обеспечение инженерной защиты застроенной части населенного пункта и инженерная подготовка планируемых к освоению территорий;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снижение риска возникновения и сокращение тяжести последствий чрезвычайных ситуаций природного и техногенного характера.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40" w:name="_Toc141946043"/>
      <w:bookmarkStart w:id="41" w:name="_Toc141946089"/>
      <w:bookmarkStart w:id="42" w:name="_Toc141946200"/>
      <w:bookmarkStart w:id="43" w:name="_Toc141946407"/>
      <w:bookmarkStart w:id="44" w:name="_Toc144628901"/>
      <w:bookmarkStart w:id="45" w:name="_Toc154215324"/>
      <w:bookmarkEnd w:id="40"/>
      <w:bookmarkEnd w:id="41"/>
      <w:bookmarkEnd w:id="42"/>
      <w:bookmarkEnd w:id="43"/>
      <w:bookmarkEnd w:id="44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 по благоустройству и озеленению территории</w:t>
      </w: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и санитарной очистке территории:</w:t>
      </w:r>
      <w:bookmarkEnd w:id="45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создание системы зеленых насаждений как важнейшего фактора в структуре элементов природного комплекса населенного пункта;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обеспечение безопасной санитарно-эпидемиологической обстановки на территории населенного пункта.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46" w:name="_Toc141946047"/>
      <w:bookmarkStart w:id="47" w:name="_Toc141946093"/>
      <w:bookmarkStart w:id="48" w:name="_Toc141946204"/>
      <w:bookmarkStart w:id="49" w:name="_Toc141946411"/>
      <w:bookmarkStart w:id="50" w:name="_Toc144628902"/>
      <w:bookmarkStart w:id="51" w:name="_Toc154215325"/>
      <w:bookmarkEnd w:id="46"/>
      <w:bookmarkEnd w:id="47"/>
      <w:bookmarkEnd w:id="48"/>
      <w:bookmarkEnd w:id="49"/>
      <w:bookmarkEnd w:id="50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 по нормативному правовому обеспечению реализации генерального плана:</w:t>
      </w:r>
      <w:bookmarkEnd w:id="51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координация действий органов местного самоуправления поселения по обеспечению реализации генерального плана поселения;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обеспечение контроля за реализацией генерального плана поселения;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разработка муниципальных правовых актов в области градостроительных и земельно-имущественных отношений;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внедрение в практику предоставления земельных участков из состава земель муниципальной собственности на территории населенного пункта для целей строительства и целей, не связанных со строительством, процедуры торгов (конкурсов, аукционов).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bookmarkStart w:id="52" w:name="_Toc144628903"/>
      <w:bookmarkStart w:id="53" w:name="_Toc154215326"/>
      <w:bookmarkEnd w:id="52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ПЕРЕЧЕНЬ ОСНОВНЫХ МЕРОПРИЯТИЙ ПО ТЕРРИТОРИАЛЬНОМУ ПЛАНИРОВАНИЮ</w:t>
      </w:r>
      <w:bookmarkEnd w:id="53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54" w:name="_Toc141946048"/>
      <w:bookmarkStart w:id="55" w:name="_Toc141946094"/>
      <w:bookmarkStart w:id="56" w:name="_Toc141946205"/>
      <w:bookmarkStart w:id="57" w:name="_Toc141946412"/>
      <w:bookmarkStart w:id="58" w:name="_Toc144628904"/>
      <w:bookmarkStart w:id="59" w:name="_Toc154215327"/>
      <w:bookmarkEnd w:id="54"/>
      <w:bookmarkEnd w:id="55"/>
      <w:bookmarkEnd w:id="56"/>
      <w:bookmarkEnd w:id="57"/>
      <w:bookmarkEnd w:id="58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развитию функционально-планировочной структуры</w:t>
      </w:r>
      <w:bookmarkEnd w:id="59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В основу планировочной структуры населенного пункта положена сложившаяся планировка территорий и существующий природный каркас, решения ранее разработанной и утвержденной градостроительной документации. Генеральным планом предлагается: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переход развития населенного пункта к функциональной и средовой реорганизации и обустройству территории в планируемых границах;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повышение интенсивности использования селитебных территорий за счет упорядочения транспортного каркаса застроенной территории, 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повышения плотности застройки, сноса ветхого фонда и строительства на его месте нового, с сохранением исторически сложившейся системы кварталов и их функционального назначения;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развитие и совершенствование сложившегося центра населенного пункта, насыщение его объектами обслуживания;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структуризация жилых, производственных и природных территорий, трансформация в соответствии с общей моделью планировочной структуры населенного пункта;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сохранение и развитие природно-ландшафтного каркаса, образующего природоохранную и рекреационную функциональную структуру территории населенного пункта.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60" w:name="_Toc144628905"/>
      <w:bookmarkStart w:id="61" w:name="_Toc154215328"/>
      <w:bookmarkEnd w:id="60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развитию основных функциональных зон для обеспечения размещения объектов капитального строительства</w:t>
      </w:r>
      <w:bookmarkEnd w:id="61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62" w:name="_Toc144628906"/>
      <w:bookmarkStart w:id="63" w:name="_Toc154215329"/>
      <w:bookmarkEnd w:id="62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Жилые зоны</w:t>
      </w:r>
      <w:bookmarkEnd w:id="63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Для создания комфортной среды жизнедеятельности населенного пункта генеральным планом предусмотрено: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увеличение градостроительной емкости жилых территорий путем реконструкции существующих жилых территорий за счет сноса ветхого, не соответствующего современным эстетическим и техническим требованиям, жилья;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упорядочения транспортного каркаса застроенной территории;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дальнейшее формирование жилых комплексов, отвечающих социальным требованиям доступности объектов обслуживания, общественных центров, требованиям безопасности и комплексного благоустройства;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формирование многообразия жилой среды и застройки, удовлетворяющего запросам различных групп населения;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увеличение объемов благоустройства жилых территорий, капитального ремонта жилых домов, ликвидации аварийного и ветхого жилого фонда;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ликвидация (вынос, перепрофилирование) с жилых территорий объектов, оказывающих негативное воздействие и несоответствующих нормативным требованиям к использованию и застройке этих территорий.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64" w:name="_Toc144628907"/>
      <w:bookmarkStart w:id="65" w:name="_Toc154215330"/>
      <w:bookmarkEnd w:id="64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Общественно-деловые зоны</w:t>
      </w:r>
      <w:bookmarkEnd w:id="65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 целью повышения уровня социально-бытового и культурно-досугового обслуживания населения генеральным планом закреплено: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развитие объектов социальной инфраструктуры, обслуживания и потребительского рынка — здравоохранения, образования, культуры, религии, торговли, досуга и рекреации;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формирование в общественных центрах благоустроенных и озелененных пешеходных пространств.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66" w:name="_Toc144628908"/>
      <w:bookmarkStart w:id="67" w:name="_Toc154215331"/>
      <w:bookmarkEnd w:id="66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Рекреационные зоны</w:t>
      </w:r>
      <w:bookmarkEnd w:id="67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Мероприятиями генерального плана в сфере охраны природы являются: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сохранение ландшафтного и биологического своеобразия природных комплексов;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устранение признаков деградации и нарушений ландшафта и растительности на природных территориях;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ликвидация на территориях природного комплекса объектов, не отвечающих требованиям охраны и использования указанных территорий;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формирование целостной системы природного комплекса населенного пункта, объединяющей отдельные благоустроенные территории непрерывной сетью зеленых полос.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68" w:name="_Toc144628909"/>
      <w:bookmarkStart w:id="69" w:name="_Toc154215332"/>
      <w:bookmarkEnd w:id="68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развитию и размещению объектов капитального строительства</w:t>
      </w:r>
      <w:bookmarkEnd w:id="69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70" w:name="_Toc144628910"/>
      <w:bookmarkStart w:id="71" w:name="_Toc154215333"/>
      <w:bookmarkEnd w:id="70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Развитие и размещение объектов жилья и социально значимых объектов</w:t>
      </w:r>
      <w:bookmarkEnd w:id="71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72" w:name="_Toc142371737"/>
      <w:bookmarkStart w:id="73" w:name="_Toc144628911"/>
      <w:bookmarkEnd w:id="72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Жилище</w:t>
      </w:r>
      <w:bookmarkEnd w:id="73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74" w:name="_Toc144628917"/>
      <w:r w:rsidRPr="005B7D59">
        <w:rPr>
          <w:rFonts w:ascii="Times New Roman" w:hAnsi="Times New Roman" w:cs="Times New Roman"/>
          <w:sz w:val="28"/>
          <w:szCs w:val="28"/>
          <w:lang w:val="ru-RU"/>
        </w:rPr>
        <w:t>В рамках реализации национального проекта «Доступное и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комфортное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жилье - гражданам России», окружного закона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«Улучшение жилищных условий населения» и окружной целевой программы «Строительство и ликвидация ветхого жилого фонда» генеральным планом предусматривается:</w:t>
      </w:r>
      <w:bookmarkEnd w:id="74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1)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разработка и реализация муниципальной целевой программы «Расселение и ликвидация ветхого и аварийного жилищного фонда с. Цингалы Ханты-Мансийского автономного округа на 2006-2026 годы» направленной на: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установление очередности сноса жилья, суммарной общей площадью 2,2 тыс. м</w:t>
      </w:r>
      <w:r w:rsidRPr="005B7D5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(45 домов, или 13% от существующего жилищного фонда), в соответствии с планом мероприятий генерального плана и распределение равномерной доли сноса по периодам расчетного срока (2006-2010гг.-26% от существующей общей площади жилья; 2011-2015 гг.-25%, 2016-2026 гг.-49%);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обеспечение переселения жителей ликвидируемого жилищного фонда с предоставлением жилья по установленным нормам.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2)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разработка и реализация муниципальной целевой программы «Улучшение жилищных условий населения с. Цингалы Ханты - Мансийского автономного округа на 2006-2025 годы», обеспечивающей: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ввод в эксплуатацию на расчетный срок 11 034 м</w:t>
      </w:r>
      <w:r w:rsidRPr="005B7D5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общей площади (103 дома);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повышение средней жилищной обеспеченности до 25 м</w:t>
      </w:r>
      <w:r w:rsidRPr="005B7D5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/чел (рост составит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5 м</w:t>
      </w:r>
      <w:r w:rsidRPr="005B7D5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соблюдение темпов нового жилищного строительства (2006-2010гг.-20% от общей площади нового строительства; 2011-2015гг.-28%; 2016-2026гг.-52%), что позволит планомерно увеличивать основные фонды собственных строительных организаций и организовать мероприятия по привлечению частных инвесторов;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создание условий для строительства индивидуальных жилых домов;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повышение плотности застройки по всем жилым кварталам села путем упорядочения линии застройки;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использование различных видов застройки: одноэтажных и двухэтажных индивидуальных с выделением земельного участка; двухэтажных многоквартирных жилых домов без выделения земельных участков.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Образование.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Уровень социально-экономического развития муниципального образования во многом зависит от совершенствования образовательного процесса на всех его этапах.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Генеральным планом в предусмотрено строительство двух детских садов, каждый из которых рассчитан на 50 мест и общеобразовательной школы на 100 мест. На школьной территории предусмотрено размещение двух зданий школьных мастерских.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Здравоохранение.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 целью улучшения качества предоставляемых услуг в сфере здравоохранения предусмотрено строительство амбулатории.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Культура и искусство.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С целью духовного развития населения запланировано строительство клуба на 350 мест, с размещением в нем библиотеки. Генеральным планом предусмотрено строительство </w:t>
      </w:r>
      <w:proofErr w:type="gram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церкви</w:t>
      </w:r>
      <w:proofErr w:type="gram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расположенной в северно-восточной части населенного пункта.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Физическая культура и спорт.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Учреждения физкультуры и спорта имеют огромное значение в поддержании и укреплении здоровья жителей. Генеральным планом предусматривается строительство: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спортивно-оздоровительного комплекса,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бассейна и спортивного зала,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лыжной базы, в южной части села,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стадиона с трибунами.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Объекты обслуживания населения.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комплекса по оказанию услуг населению направлено на развитие малого бизнеса в сфере торговли (сети магазинов мелкорозничной 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lastRenderedPageBreak/>
        <w:t>торговли с широким ассортиментом продовольственных и непродовольственных товаров) и коммунального обслуживания.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На расчетный срок реализации генерального плана запланировано строительство: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общественного - торгового центра, трех магазинов одной пекарни,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кафе и интернет-кафе,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бани (с прачечной),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гостиницы на 10 мест,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пожарного депо на 2 выезда.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К перепрофилированию запланировано здание действующей амбулатории-под здание почты.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Управление и бизнес.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 целью совершенствования организации и развития сферы управления генеральным планом в с. Цингалы предусмотрено строительство здания сельской Администрации.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75" w:name="_Toc154215334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Развитие и размещение объектов транспортной инфраструктуры</w:t>
      </w:r>
      <w:bookmarkEnd w:id="75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76" w:name="_Toc137811163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В целях организации круглогодичного сообщения с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г.Ханты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-Мансийском генеральным планом заложено строительство автомобильной дороги, с улучшенным грунтовым покрытием до паромной переправы в районе в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п.Батово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и далее до автомобильной дороги Ханты-Мансийск-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Горноправдинск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-Тюмень.</w:t>
      </w:r>
      <w:bookmarkEnd w:id="76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Улично-дорожная сеть и поселковый транспорт.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Совершенствование улично-дорожной сети</w:t>
      </w:r>
      <w:r w:rsidRPr="005B7D59">
        <w:rPr>
          <w:rFonts w:ascii="Times New Roman" w:hAnsi="Times New Roman" w:cs="Times New Roman"/>
          <w:sz w:val="28"/>
          <w:szCs w:val="28"/>
        </w:rPr>
        <w:t> c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. Цингалы путем реализации мероприятий по строительству улиц и дорог: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ул. Молодежная, ул. Советская и ул. Мира;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ул. Пушкина, ул. Ленина, ул. Школьной, ул. Комсомольской;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второстепенных улиц и проездов.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Генеральным планом сохраняется положение существующих объектов транспортной инфраструктуры (АЗС, дебаркадера), перенос вертолетной площадки.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77" w:name="_Toc144628918"/>
      <w:bookmarkStart w:id="78" w:name="_Toc154215335"/>
      <w:bookmarkStart w:id="79" w:name="_Toc141946052"/>
      <w:bookmarkStart w:id="80" w:name="_Toc141946098"/>
      <w:bookmarkStart w:id="81" w:name="_Toc141946209"/>
      <w:bookmarkStart w:id="82" w:name="_Toc141946416"/>
      <w:bookmarkEnd w:id="77"/>
      <w:bookmarkEnd w:id="78"/>
      <w:bookmarkEnd w:id="79"/>
      <w:bookmarkEnd w:id="80"/>
      <w:bookmarkEnd w:id="81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Развитие и размещение объектов инженерной инфраструктуры</w:t>
      </w:r>
      <w:bookmarkEnd w:id="82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Учитывая прогнозы увеличения численности населения, рост объемов строительства, суровые климатические условия и существующее состояние объектов инженерной инфраструктуры генеральным планом предусматривается ряд мероприятий по всем направлениям инженерного обеспечения территории города.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83" w:name="_Toc142371749"/>
      <w:bookmarkStart w:id="84" w:name="_Toc144628919"/>
      <w:bookmarkEnd w:id="83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Водоснабжение:</w:t>
      </w:r>
      <w:bookmarkEnd w:id="84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подземного водозабора, производительностью 385 м</w:t>
      </w:r>
      <w:r w:rsidRPr="005B7D5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сут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водопроводных очистных сооружений (ВОС) производительностью 385 м</w:t>
      </w:r>
      <w:r w:rsidRPr="005B7D5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сут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магистральных и разводящих кольцевых, водопроводных сетей;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установка пожарных гидрантов в северном исполнении на сетях водопровода.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85" w:name="_Toc142371750"/>
      <w:bookmarkStart w:id="86" w:name="_Toc144628920"/>
      <w:bookmarkEnd w:id="85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Водоотведение (канализация)</w:t>
      </w:r>
      <w:bookmarkEnd w:id="86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канализационных сетей;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строительно-монтажные работы по установки септиков;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канализационных очистных сооружений (КОС), производительностью 325 м</w:t>
      </w:r>
      <w:r w:rsidRPr="005B7D5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сут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87" w:name="_Toc142371751"/>
      <w:bookmarkStart w:id="88" w:name="_Toc144628921"/>
      <w:bookmarkEnd w:id="87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Теплоснабжени</w:t>
      </w:r>
      <w:bookmarkEnd w:id="88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е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новой блочной котельной «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Термаль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9000»;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тепловых сетей в ППУ изоляции.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89" w:name="_Toc142371752"/>
      <w:bookmarkStart w:id="90" w:name="_Toc144628922"/>
      <w:bookmarkEnd w:id="89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Газоснабжение:</w:t>
      </w:r>
      <w:bookmarkEnd w:id="90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газовых сетей среднего и высокого давления.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91" w:name="_Toc142371753"/>
      <w:bookmarkStart w:id="92" w:name="_Toc144628923"/>
      <w:bookmarkEnd w:id="91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Связь и информатизация:</w:t>
      </w:r>
      <w:bookmarkEnd w:id="92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i/>
          <w:iCs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сетей связи в районах перспективной жилой застройки на основе технологии</w:t>
      </w:r>
      <w:r w:rsidRPr="005B7D59">
        <w:rPr>
          <w:rFonts w:ascii="Times New Roman" w:hAnsi="Times New Roman" w:cs="Times New Roman"/>
          <w:sz w:val="28"/>
          <w:szCs w:val="28"/>
        </w:rPr>
        <w:t> DECT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93" w:name="_Toc142371754"/>
      <w:bookmarkStart w:id="94" w:name="_Toc144628924"/>
      <w:bookmarkEnd w:id="93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Электроснабжение:</w:t>
      </w:r>
      <w:bookmarkEnd w:id="94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bookmarkStart w:id="95" w:name="_Toc144628925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строительство новых трансформаторных подстанций (ТП № 5-630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кВА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, ТП № 6-160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кВА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, ТП № 7-2х400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кВА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), для обеспечения электроснабжения проектируемой застройки;</w:t>
      </w:r>
      <w:bookmarkEnd w:id="95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реконструкция сетей электроснабжения в существующей застройке в соответствии с решениями генерального плана существующей застройки;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сетей электроснабжения в проектируемых кварталах.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96" w:name="_Toc154215336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охране окружающей среды.</w:t>
      </w:r>
      <w:bookmarkEnd w:id="96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97" w:name="_Toc142198079"/>
      <w:bookmarkStart w:id="98" w:name="_Toc142724212"/>
      <w:bookmarkStart w:id="99" w:name="_Toc144628926"/>
      <w:bookmarkStart w:id="100" w:name="_Toc154215337"/>
      <w:bookmarkEnd w:id="97"/>
      <w:bookmarkEnd w:id="98"/>
      <w:bookmarkEnd w:id="99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улучшению качеств атмосферного воздуха:</w:t>
      </w:r>
      <w:bookmarkEnd w:id="100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разработка проектов установления СЗЗ для источников загрязнения атмосферного воздуха, организация, благоустройство, озеленение территорий санитарно-защитных зон для следующих объектов: котельная, баня, пекарня, КОС, пожарное депо, гаражи, предприятие по производству строительных материалов;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озеленение территории населенного пункта;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-в целях сокращения суммарных выбросов в атмосферу стационарными источниками выделения предлагается: внедрение и реконструкция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пылегазоочистного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оборудования на всех производственных объектах и котельных, использование высококачественных видов топлива, соблюдение технологических режимов работы, исключающих аварийный выброс;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lastRenderedPageBreak/>
        <w:t>-организация системы контроля и регулирования источников загрязнения должна включать: разработку проектов ПДВ на основных предприятиях, оснащение источников выбросов приборами для контроля за качественным и количественным составом отходящих газов;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-закрытие котельных, расположенных на ул. Советская и ул. Мира, в пределах жилой застройки, в непосредственной близости от жилых строений;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-строительство котельной, использующей в качестве топлива природный газ, в западной части поселка, в перспективной промышленной зоне;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-демонтаж дизельной электростанции, расположенной по ул. Молодежная, в непосредственной близости от жилой застройки.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-перенос пожарного депо в западную часть села, на расстояние обеспечивающее соблюдение режима СЗЗ.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01" w:name="_Toc142198081"/>
      <w:bookmarkStart w:id="102" w:name="_Toc142724217"/>
      <w:bookmarkStart w:id="103" w:name="_Toc144628927"/>
      <w:bookmarkStart w:id="104" w:name="_Toc154215338"/>
      <w:bookmarkEnd w:id="101"/>
      <w:bookmarkEnd w:id="102"/>
      <w:bookmarkEnd w:id="103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охране водных объектов:</w:t>
      </w:r>
      <w:bookmarkEnd w:id="104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разработка проекта по организации и благоустройству водоохранных зон и прибрежных защитных полос водных объектов в окрестностях села;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закрытие водозаборных скважин в центре села, и строительство нового подземного водозабора и водоочистных сооружений в южной не застроенной части населенного пункта;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разработка проекта по организации, озеленению и ограждению поясов зоны санитарной охраны подземного водозабора;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ликвидация складских территорий и котельной, расположенных в водоохраной зоне реки Иртыш </w:t>
      </w:r>
      <w:proofErr w:type="gramStart"/>
      <w:r w:rsidRPr="005B7D59">
        <w:rPr>
          <w:rFonts w:ascii="Times New Roman" w:hAnsi="Times New Roman" w:cs="Times New Roman"/>
          <w:sz w:val="28"/>
          <w:szCs w:val="28"/>
          <w:lang w:val="ru-RU"/>
        </w:rPr>
        <w:t>( в</w:t>
      </w:r>
      <w:proofErr w:type="gram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районе ул. Советская), с проведением последующей рекультивации земель;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организация сбора и отведения поверхностных стоков с территории села с их последующей очисткой;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строительство канализационных очистных сооружений с биологической очисткой;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организация контроля уровня загрязнения поверхностных и грунтовых вод.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оборудование производственных и коммунально-складских площадок системами сбора и очистки поверхностных стоков (водоотводными лотками, отстойниками,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нефтеловушками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05" w:name="_Toc142198083"/>
      <w:bookmarkStart w:id="106" w:name="_Toc142724218"/>
      <w:bookmarkStart w:id="107" w:name="_Toc144628928"/>
      <w:bookmarkStart w:id="108" w:name="_Toc154215339"/>
      <w:bookmarkEnd w:id="105"/>
      <w:bookmarkEnd w:id="106"/>
      <w:bookmarkEnd w:id="107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охране и восстановлению почв:</w:t>
      </w:r>
      <w:bookmarkEnd w:id="108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Для предотвращения загрязнения и разрушения почвенного покрова генеральным планом предполагается ряд мероприятий: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рекультивации территории ликвидируемой котельной в ВЗ р. Иртыш, по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ул.Советская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рекультивации территорий ликвидируемых складов, расположенных в ВЗ р. Иртыш, по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ул.Советская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технической рекультивации </w:t>
      </w:r>
      <w:proofErr w:type="gram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земель</w:t>
      </w:r>
      <w:proofErr w:type="gram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нарушенных при строительстве и прокладке инженерных сетей;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ликвидация несанкционированных свалок, с последующей рекультивацией территории;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снятие плодородного слоя почвы перед строительством и использование его при озеленении поселка;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организация контроля за качеством и своевременностью выполнения работ по рекультивации нарушенных земель;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организация химического и бактериологического исследование почв.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В целях охраны почвенного покрова от эрозии рекомендуется не допускать нарушение почвенно-растительного покрова при строительных работах, вырубку древесно-кустарниковой растительности, уничтожение травяного покрова.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09" w:name="_Toc142198084"/>
      <w:bookmarkStart w:id="110" w:name="_Toc142724219"/>
      <w:bookmarkStart w:id="111" w:name="_Toc144628929"/>
      <w:bookmarkStart w:id="112" w:name="_Toc154215340"/>
      <w:bookmarkEnd w:id="109"/>
      <w:bookmarkEnd w:id="110"/>
      <w:bookmarkEnd w:id="111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охране недр, минерально-сырьевые ресурсов, подземных вод:</w:t>
      </w:r>
      <w:bookmarkEnd w:id="112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– строительство нового водозабора в южной части села, за пределами жилой застройки;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– разработка проекта установления границ поясов зон санитарной охраны водозаборных скважин и территории ВОС в селе;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– организация, ограждение и озеленение ЗСО вокруг подземных источников питьевого водоснабжения;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 организация на полигоне ТБО системы мониторинга состояния грунтовых вод (создание контрольных колодцев или скважин в СЗЗ полигона).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13" w:name="_Toc141946069"/>
      <w:bookmarkStart w:id="114" w:name="_Toc141946115"/>
      <w:bookmarkStart w:id="115" w:name="_Toc141946226"/>
      <w:bookmarkStart w:id="116" w:name="_Toc141946433"/>
      <w:bookmarkStart w:id="117" w:name="_Toc154215341"/>
      <w:bookmarkEnd w:id="113"/>
      <w:bookmarkEnd w:id="114"/>
      <w:bookmarkEnd w:id="115"/>
      <w:bookmarkEnd w:id="116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инженерной подготовке территорий</w:t>
      </w:r>
      <w:bookmarkEnd w:id="117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В целях обеспечения инженерной защиты застроенных территорий и подготовки территории под перспективное освоение необходимо предусмотреть ряд мероприятий: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вертикальная планировка застроенной территории, организация и формирование первичного поверхностного стока в целях снижения водонасыщения грунтов, повышения уровня грунтовых вод,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термоэрозии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грунтов и прочих негативных последствий.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организация поверхностного стока с застроенной территории, путем устройства развитой водоотводной сети;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sym w:font="Symbol" w:char="F02D"/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подсыпка территории под перспективное освоение территории выше отметки подтопления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18" w:name="_Toc144628930"/>
      <w:bookmarkStart w:id="119" w:name="_Toc154215342"/>
      <w:bookmarkEnd w:id="118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Мероприятия по благоустройству, озеленению и санитарной очистке территорий</w:t>
      </w:r>
      <w:bookmarkEnd w:id="119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20" w:name="_Toc144628931"/>
      <w:bookmarkStart w:id="121" w:name="_Toc154215343"/>
      <w:bookmarkEnd w:id="120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озеленению населенного пункта:</w:t>
      </w:r>
      <w:bookmarkEnd w:id="121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– проведение геоботанического мониторинга, восстановление растительного покрова в местах сильной деградации зеленых насаждений;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– формирование крупных насаждений из деревьев и кустарников местных видов, устойчивых к влиянию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антропо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- и техногенных факторов.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– использование многоярусных полупроницаемых конструкций посадок из газоустойчивых пород (лиственница, боярышник), для защиты зданий и улиц от шума, пыли, выхлопных газов, ветра и снеговых заносов;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-посадка газонов на площадях, не занятых дорожным покрытием, для предотвращения образования пылящих поверхностей;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-организация дополнительных озелененных площадей за счет озеленения санитарно-защитных зон;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 организация зеленых насаждений вдоль основных дорог.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22" w:name="_Toc154215344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санитарной очистке территории:</w:t>
      </w:r>
      <w:bookmarkEnd w:id="122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-разработка муниципального правового акта об обращении с отходами в селе;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 организация планово-поквартальной системы санитарной очистки населенного пункта;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-выявление и ликвидация несанкционированных свалок, с последующим проведением рекультивации территории, расчистка захламленных участков земель;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– разработка проекта строительства нового полигона ТБО площадью около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0,1 га, в западной части с. Цингалы;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– устройство на полигоне ТБО участка для утилизации промышленных отходов 3-4 класса опасности, и биотермических ям «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Беккари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» для сжигания трупов животных;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 организация сбора, транспортировки и удаление ТБО на полигон;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– организация уборки территорий от мусора, смета, снега, мытье усовершенствованных покрытий;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применение 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мусоровозных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машины с механизированной выгрузкой отходов из контейнеров;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-организация парка автотранспорта: ассенизационных машин, уборочных, снегоочистителей, снегопогрузчиков.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23" w:name="_Toc141946068"/>
      <w:bookmarkStart w:id="124" w:name="_Toc141946114"/>
      <w:bookmarkStart w:id="125" w:name="_Toc141946225"/>
      <w:bookmarkStart w:id="126" w:name="_Toc141946432"/>
      <w:bookmarkStart w:id="127" w:name="_Toc144628933"/>
      <w:bookmarkStart w:id="128" w:name="_Toc154215345"/>
      <w:bookmarkStart w:id="129" w:name="_Toc141946071"/>
      <w:bookmarkStart w:id="130" w:name="_Toc141946117"/>
      <w:bookmarkStart w:id="131" w:name="_Toc141946228"/>
      <w:bookmarkStart w:id="132" w:name="_Toc141946435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предотвращению чрезвычайных ситуаций природного и техногенного характера</w:t>
      </w:r>
      <w:bookmarkEnd w:id="132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Инженерно-технических мероприятий по предотвращению ЧС техногенного и природного характера проектом не предусмотрены, так как на 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lastRenderedPageBreak/>
        <w:t>территории села нет потенциально опасных, вредных и категорируемых по ГО объектов.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33" w:name="_Toc144628934"/>
      <w:bookmarkStart w:id="134" w:name="_Toc154215346"/>
      <w:bookmarkEnd w:id="133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Мероприятия по нормативному правовому обеспечению реализации генерального плана</w:t>
      </w:r>
      <w:bookmarkEnd w:id="134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1. Утверждение плана реализации генерального плана поселения.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2. Утверждение правил землепользования и застройки поселения.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3. Обращение к органам местного самоуправления Ханты-Мансийского района с предложением об учете при подготовке схемы территориального планирования муниципального района решений генерального плана поселения в части строительства (реконструкции) на территории населенного пункта объектов образования, здравоохранения, культурно-досугового назначения, физической культуры и спорта, инженерной инфраструктуры (электро-, газоснабжения районного значения), финансируемых за счет средств районного бюджета.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4. Муниципальное правовое обеспечение сохранности зеленых насаждений через разработку комплекса увязанных между собой правовых актов в сфере градостроительства, землепользования, природопользования.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5. Подготовка и введение системы мониторинга реализации генерального плана поселения.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 w:rsidRPr="005B7D59">
        <w:rPr>
          <w:rFonts w:ascii="Times New Roman" w:hAnsi="Times New Roman" w:cs="Times New Roman"/>
          <w:sz w:val="28"/>
          <w:szCs w:val="28"/>
        </w:rPr>
        <w:t>            </w:t>
      </w:r>
      <w:bookmarkStart w:id="135" w:name="_Toc145059068"/>
      <w:bookmarkStart w:id="136" w:name="_Toc154215347"/>
      <w:bookmarkEnd w:id="135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ЗЕМЕЛЬНЫЕ</w:t>
      </w: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РЕСУРСЫ</w:t>
      </w:r>
      <w:bookmarkEnd w:id="136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37" w:name="_Toc145054955"/>
      <w:bookmarkStart w:id="138" w:name="_Toc145059069"/>
      <w:bookmarkStart w:id="139" w:name="_Toc154215348"/>
      <w:bookmarkEnd w:id="137"/>
      <w:bookmarkEnd w:id="138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Анализ наличия земель различных категорий и обоснование их перевода в земли поселений.</w:t>
      </w:r>
      <w:bookmarkEnd w:id="139"/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Согласно п. 3 ст. 11 ФЗ «Об общих принципах организации местного самоуправления в РФ» территорию поселения составляют исторически сложившиеся земли населенных пунктов, прилегающие к ним земли общего пользования, территории традиционного природопользования населения соответствующего поселения, рекреационные земли, земли для развития поселения.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Границы сельского поселения Цингалы Ханты-Мансийского района ХМАО-Югры установлены на основании Федерального закона «Об общих принципах организации местного самоуправления в РФ» от 08.10.2003 г. № 131-ФЗ Законом Ханты-Мансийского автономного округа - Югры от 25 ноября 2004 года </w:t>
      </w:r>
      <w:r w:rsidRPr="005B7D59">
        <w:rPr>
          <w:rFonts w:ascii="Times New Roman" w:hAnsi="Times New Roman" w:cs="Times New Roman"/>
          <w:sz w:val="28"/>
          <w:szCs w:val="28"/>
        </w:rPr>
        <w:t>N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63-оз (в ред. Законов ХМАО-Югры от 18.02.2005 </w:t>
      </w:r>
      <w:r w:rsidRPr="005B7D59">
        <w:rPr>
          <w:rFonts w:ascii="Times New Roman" w:hAnsi="Times New Roman" w:cs="Times New Roman"/>
          <w:sz w:val="28"/>
          <w:szCs w:val="28"/>
        </w:rPr>
        <w:t>N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12-оз, от 11.11.2005 </w:t>
      </w:r>
      <w:r w:rsidRPr="005B7D59">
        <w:rPr>
          <w:rFonts w:ascii="Times New Roman" w:hAnsi="Times New Roman" w:cs="Times New Roman"/>
          <w:sz w:val="28"/>
          <w:szCs w:val="28"/>
        </w:rPr>
        <w:t>N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 xml:space="preserve"> 105-оз) «О статусе и границах муниципальных образований Ханты-Мансийского автономного округа - Югры».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В границах (черте) поселения площадь: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Земель поселений-336,9 га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земель лесного фонда-3578 га,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земель запаса -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2509 га,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lastRenderedPageBreak/>
        <w:t>земель сельскохозяйственного назначения-14050 га.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Границы вышеназванных категорий земель отображены на схеме, входящей с состав проекта генерального плана сельского поселения «Схема генерального плана сельского поселения Цингалы», а их экспликация отображена на «Схеме современного использования и комплексной оценки территории населенного пункта с. Цингалы».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Состав и категории земель в Российской Федерации определяются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46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Земельным кодексом</w:t>
        </w:r>
      </w:hyperlink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РФ (глава 1 ст.7, 8, главы 14-18).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В соответствии со ст.7 ЗК РФ земли в Российской Федерации по целевому назначению подразделяются на следующие категории: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1) земли сельскохозяйственного назначения;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2) земли поселений;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3)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4) земли особо охраняемых территорий и объектов;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5) земли лесного фонда;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6) земли водного фонда;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7) земли запаса.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Состав и использование земель поселений регулируется главой 15 ЗК РФ.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В соответствии с п.1 ст.83 ЗК РФ землями поселений признаются земли, используемые и предназначенные для застройки и развития городских и сельских поселений и отделенные их чертой от земель других категорий. В данной норме заложено очень важное положение, заключающееся в том, что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в составе земель поселений не могут находиться земли других категорий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Следовательно, все иные категории земель в границах (черте) поселения подлежат переводу в категорию земель поселений в соответствии с утвержденным документом территориального планирования-генеральным планом поселения на основании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47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Земельного кодекса</w:t>
        </w:r>
      </w:hyperlink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РФ,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48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Лесного кодекса</w:t>
        </w:r>
      </w:hyperlink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РФ,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49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Водного кодекса</w:t>
        </w:r>
      </w:hyperlink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РФ, ФЗ от 21.12.2004 г.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hyperlink r:id="rId50" w:tgtFrame="_blank" w:history="1">
        <w:r w:rsidRPr="005B7D5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№ 172-ФЗ «О переводе земель или земельных</w:t>
        </w:r>
      </w:hyperlink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участков из одной категории в другую», иных федеральных законов и правовых актов Правительства РФ.</w:t>
      </w:r>
    </w:p>
    <w:p w:rsidR="005B7D59" w:rsidRPr="005B7D59" w:rsidRDefault="005B7D59" w:rsidP="005B7D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ООО ПК «</w:t>
      </w:r>
      <w:proofErr w:type="spellStart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Техмаш</w:t>
      </w:r>
      <w:proofErr w:type="spellEnd"/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ПРАВИЛА ЗЕМЛЕПОЛЬЗОВАНИЯ И ЗАСТРОЙКИ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МУНИЦИПАЛЬНОЕ ОБРАЗОВАНИЕ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СЕЛЬСКОЕ ПОСЕЛЕНИЕ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ЦИНГАЛЫ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населенный пункт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ЦИНГАЛЫ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КАРТА ГРАДОСТРОИТЕЛЬНОГО ЗОНИРОВАНИЯ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ГРАДОСТРОИТЕЛЬНЫЕ РЕГЛАМЕНТЫ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ТОМ 2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ПРАВИЛА ЗЕМЛЕПОЛЬЗОВАНИЯ И ЗАСТРОЙКИ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КАРТА ГРАДОСТРОИТЕЛЬНОГО ЗОНИРОВАНИЯ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  <w:lang w:val="ru-RU"/>
        </w:rPr>
        <w:t>ГРАДОСТРОИТЕЛЬНЫЕ РЕГЛАМЕНТЫ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Генеральный заказчик:</w:t>
      </w: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Администрации муниципального образования Ханты-Мансийский район ХМАО-ЮГРЫ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Заказчик:</w:t>
      </w: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Департамент строительства, архитектуры и ЖКХ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Договор: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Исполнитель:</w:t>
      </w:r>
      <w:r w:rsidRPr="005B7D59">
        <w:rPr>
          <w:rFonts w:ascii="Times New Roman" w:hAnsi="Times New Roman" w:cs="Times New Roman"/>
          <w:sz w:val="28"/>
          <w:szCs w:val="28"/>
        </w:rPr>
        <w:t> </w:t>
      </w:r>
      <w:r w:rsidRPr="005B7D59">
        <w:rPr>
          <w:rFonts w:ascii="Times New Roman" w:hAnsi="Times New Roman" w:cs="Times New Roman"/>
          <w:sz w:val="28"/>
          <w:szCs w:val="28"/>
          <w:lang w:val="ru-RU"/>
        </w:rPr>
        <w:t>ООО ПК «</w:t>
      </w:r>
      <w:proofErr w:type="spellStart"/>
      <w:r w:rsidRPr="005B7D59">
        <w:rPr>
          <w:rFonts w:ascii="Times New Roman" w:hAnsi="Times New Roman" w:cs="Times New Roman"/>
          <w:sz w:val="28"/>
          <w:szCs w:val="28"/>
          <w:lang w:val="ru-RU"/>
        </w:rPr>
        <w:t>ТехМаш</w:t>
      </w:r>
      <w:proofErr w:type="spellEnd"/>
      <w:r w:rsidRPr="005B7D59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B7D59">
        <w:rPr>
          <w:rFonts w:ascii="Times New Roman" w:hAnsi="Times New Roman" w:cs="Times New Roman"/>
          <w:b/>
          <w:bCs/>
          <w:sz w:val="28"/>
          <w:szCs w:val="28"/>
        </w:rPr>
        <w:t>Шифр</w:t>
      </w:r>
      <w:proofErr w:type="spellEnd"/>
      <w:r w:rsidRPr="005B7D5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Производственная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2                        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коммунально-складского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назначения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3                        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социально-бытового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назначения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4                        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энергообеспечения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5                        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здравоохранения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6                        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учебно-образовательного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назначения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7                        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жилой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застройки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8                        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административно-делового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назначения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9                        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торгового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назначения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10                    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связи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11                    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водоснабжения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очистки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стоков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12                    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внешнего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транспорта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13                    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ритуального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назначения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sz w:val="28"/>
          <w:szCs w:val="28"/>
        </w:rPr>
        <w:t>14                    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Зона</w:t>
      </w:r>
      <w:proofErr w:type="spellEnd"/>
      <w:proofErr w:type="gram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сельскохозяйственного</w:t>
      </w:r>
      <w:proofErr w:type="spellEnd"/>
      <w:r w:rsidRPr="005B7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D59">
        <w:rPr>
          <w:rFonts w:ascii="Times New Roman" w:hAnsi="Times New Roman" w:cs="Times New Roman"/>
          <w:sz w:val="28"/>
          <w:szCs w:val="28"/>
        </w:rPr>
        <w:t>использования</w:t>
      </w:r>
      <w:proofErr w:type="spellEnd"/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br w:type="page"/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40" w:name="Zone"/>
      <w:bookmarkEnd w:id="140"/>
      <w:r w:rsidRPr="005B7D59">
        <w:rPr>
          <w:rFonts w:ascii="Times New Roman" w:hAnsi="Times New Roman" w:cs="Times New Roman"/>
          <w:b/>
          <w:bCs/>
          <w:sz w:val="28"/>
          <w:szCs w:val="28"/>
        </w:rPr>
        <w:lastRenderedPageBreak/>
        <w:t> </w:t>
      </w:r>
    </w:p>
    <w:p w:rsidR="005B7D59" w:rsidRPr="005B7D59" w:rsidRDefault="005B7D59" w:rsidP="005B7D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proofErr w:type="gramEnd"/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ПРОИЗВОДСТВЕННАЯ ЗОНА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Объекты производства различного назначения, объекты торговли, спортивного назначения,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Общественного питания, транспорта, производств (с санитарно-защитной зоной до 100 м)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Этажность - 2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- до 14 м.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Предусмотреть мероприятия по отводу сточных вод путем устройства ливневой канализации.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ЗОНА КОММУНАЛЬНО-СКЛАДСКОГО НАЗНАЧЕНИЯ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Объекты коммунально-складского назначения, временного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хранения и переработки ТБО (согласно СанПиН), общественного питания, спортивного назначения, торгового назначения,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Этажность - 1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- до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м.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Предусмотреть мероприятия по отводу сточных вод путем устройства ливневой канализации.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ЗОНА СОЦИАЛЬНО-БЫТОВОГО НАЗНАЧЕНИЯ</w:t>
      </w:r>
    </w:p>
    <w:p w:rsidR="005B7D59" w:rsidRPr="005B7D59" w:rsidRDefault="005B7D59" w:rsidP="005B7D5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14"/>
        <w:gridCol w:w="3959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социально-бытового назначения, объекты торговли, 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общественного питания, спортивного назначения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Этажность - 2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- до 14 м.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Новое строительство, реконструкцию осуществлять по утвержденному проекту 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планировки и межевания территории.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Проектные решения согласовать с органом архитектуры и градостроительства.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технического обеспечения, временной стоянки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Согласно технических условий и проекта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ЗОНА ЭНЕРГООБЕСПЕЧЕНИЯ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энергообеспечения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Этажность - 1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- до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м.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технического обеспечения, временной стоянки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ЗОНА ЗДРАВООХРАНЕНИЯ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14"/>
        <w:gridCol w:w="3959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здравоохранения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Этажность - до 2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- до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м.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Новое строительство, реконструкцию осуществлять по утвержденному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проектупланировки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территории и проекту межевания территории.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Проектные решения согласовать с органом архитектуры и градостроительства.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lastRenderedPageBreak/>
        <w:t>                  </w:t>
      </w: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ЗОНА УЧЕБНО-ОБРАЗОВАТЕЛЬНОГО НАЗНАЧЕНИЯ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08"/>
        <w:gridCol w:w="3965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Объекты учебно-образовательного назначения, дошкольного воспитания, интернаты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Этажность - до 3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- до 16 м.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Новое строительство, реконструкцию осуществлять по утвержденному проекту планировки территории и проекту межевания территории.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проекте предусмотреть архитектурно-планировочное и колористическое решения фасадов. Проектные решения согласовать с органом архитектуры и градостроительства.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Земельные участки объектов не делимы.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Недопустимо перепрофилирование объектов.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Прокладка линейных объектов на данной территории допускается в исключительных случаях, по отдельному согласованию с органом архитектуры и градостроительства.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технического обеспечения, временной стоянки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ЗОНА ЖИЛОЙ ЗАСТРОЙКИ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24"/>
        <w:gridCol w:w="3949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Жилая застройка усадебного типа, многоквартирные дома с приусадебными участками, многоквартирные дома без приусадебных участков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Этажность - до 3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с мансардным завершением до конька скатной кровли - до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 м.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ограждения земельных участков - до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1,8 м.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Расстояние от границ смежного земельного участка до жилого дома -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м.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Отступ от красной линии не менее -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м.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допускается размещение хозяйственных построек со стороны улиц, за исключением гаражей.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Подходы и подъезды к жилым домам выполнять в твердом покрытии с водопропускными трубами.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296"/>
        <w:gridCol w:w="4034"/>
      </w:tblGrid>
      <w:tr w:rsidR="005B7D59" w:rsidRPr="005B7D59" w:rsidTr="005B7D59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Объекты торгового назначения.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Объекты бытового обслуживания.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площадь помещений -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 150 кв. м.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Встроенные в первые этажи жилых домов с условием обеспечения входов со стороны красных линий.</w:t>
            </w:r>
          </w:p>
        </w:tc>
      </w:tr>
      <w:tr w:rsidR="005B7D59" w:rsidRPr="005B7D59" w:rsidTr="005B7D5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хозяйственного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назначения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Этажность - 1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площадь помещений -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60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кв.м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Расстояние от границ смежного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земельногоучастка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хозяйственных построек и прочих строений не менее -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м.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хозяйственных построек и прочих строений до верха плоской кровли не более -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м, до конька скатной кровли не более -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м.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Отдельно стоящие строения, пристроенные к жилым домам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Допускается блокировка хозяйственных построек на смежных земельных участках при условии взаимного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согласиясобственников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жилых домов.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5B7D59" w:rsidRPr="005B7D59" w:rsidTr="005B7D5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хранения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индивидуального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автотранспорта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площадь помещений - до</w:t>
            </w: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 кв. м.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защитных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зон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B7D59" w:rsidRPr="005B7D59" w:rsidTr="005B7D59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технического обеспечения, хранения индивидуального 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Согласно проекта и технических условий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                 </w:t>
      </w: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ЗОНА АДМИНИСТРАТИВНО-ДЕЛОВОГО НАЗНАЧЕНИЯ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14"/>
        <w:gridCol w:w="3959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Объекты административно-делового назначения, торгового назначения, спортивного назначения, культурно-досугового назначения, общественного питания, культового назначения, бытового обслуживания, гостиницы.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Этажность - до 3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- до 15 м.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Проектные решения согласовать с органом архитектуры и градостроительства.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технического обеспечения, временной стоянки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             </w:t>
      </w: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ЗОНА ТОРГОВОГО НАЗНАЧЕНИЯ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Объекты торгового назначения, объекты общественного питания, рынки, бытового обслуживания.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Этажность - до 2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- до 14 м.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технического обеспечения, временного хранения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             </w:t>
      </w: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ЗОНА СВЯЗИ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связи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Этажность - 2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- до 14 м.</w:t>
            </w:r>
          </w:p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вышек -согласно задания на проектирование и норм СНиП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lastRenderedPageBreak/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технического обеспечения, временной стоянки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             </w:t>
      </w: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ЗОНА ВОДОСНАБЖЕНИЯ И ОЧИСТКИ СТОКОВ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Объекты водоснабжения и очистки стоков.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технического обеспечения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12. ЗОНА ВНЕШНЕГО ТРАНСПОРТА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внешнего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транспорта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Согласно задания на проектирование и строительных норм и правил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технического обеспечения, временной стоянки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</w:rPr>
        <w:t>13. ОНА РИТУАЛЬНОГО НАЗНАЧЕНИЯ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Объекты ритуального назначения, торговли ритуальными принадлежностями.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5281"/>
        <w:gridCol w:w="222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технического обеспечения, временной стоянки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14. ЗОНА СЕЛЬКОХОЗЯЙСТВЕННОГО ИСПОЛЬЗОВАНИЯ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3301"/>
        <w:gridCol w:w="3830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Объекты сельскохозяйственного производства, сельскохозяйственные угодья, выпасы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Согласно проекта, строительных норм и правил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ВСПОМОГАТЕЛЬНЫЕ ВИДЫ И ПАРАМЕТРЫ РАЗРЕШЁННОГО ИСПОЛЬЗОВАНИЯ ЗЕМЕЛЬНЫХ УЧАСТКОВ И ОБЪЕКТОВ КАПИТАЛЬНОГО СТРОИТЕЛЬСТВА: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101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3332"/>
        <w:gridCol w:w="3941"/>
      </w:tblGrid>
      <w:tr w:rsidR="005B7D59" w:rsidRPr="005B7D59" w:rsidTr="005B7D59">
        <w:trPr>
          <w:trHeight w:val="55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ОСОБЫЕ УСЛОВИЯ РЕАЛИЗАЦИИ РЕГЛАМЕНТА</w:t>
            </w:r>
          </w:p>
        </w:tc>
      </w:tr>
      <w:tr w:rsidR="005B7D59" w:rsidRPr="005B7D59" w:rsidTr="005B7D59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Объекты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инженерно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технического обеспечения, временной стоянки автотранспорта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proofErr w:type="spellEnd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условий</w:t>
            </w:r>
            <w:proofErr w:type="spellEnd"/>
          </w:p>
        </w:tc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7D59" w:rsidRPr="005B7D59" w:rsidRDefault="005B7D59" w:rsidP="005B7D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7D5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br w:type="page"/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D59" w:rsidRPr="005B7D59" w:rsidRDefault="00A40E93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E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2953592"/>
            <wp:effectExtent l="0" t="0" r="635" b="0"/>
            <wp:docPr id="1" name="Рисунок 1" descr="F:\генеральный план\Решение Совета депутатов № 21 от 20.06.2012\Карта градостроительного зонирования д. Семей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енеральный план\Решение Совета депутатов № 21 от 20.06.2012\Карта градостроительного зонирования д. Семейка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D59" w:rsidRPr="005B7D59">
        <w:rPr>
          <w:rFonts w:ascii="Times New Roman" w:hAnsi="Times New Roman" w:cs="Times New Roman"/>
          <w:sz w:val="28"/>
          <w:szCs w:val="28"/>
        </w:rPr>
        <w:br w:type="page"/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D59" w:rsidRPr="005B7D59" w:rsidRDefault="00A40E93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C66BBC" wp14:editId="471FD626">
            <wp:extent cx="6152515" cy="3748335"/>
            <wp:effectExtent l="0" t="0" r="635" b="5080"/>
            <wp:docPr id="4" name="Рисунок 4" descr="C:\Users\User\Desktop\Схема с.Цингалы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с.Цингалы ГП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D59" w:rsidRPr="005B7D59">
        <w:rPr>
          <w:rFonts w:ascii="Times New Roman" w:hAnsi="Times New Roman" w:cs="Times New Roman"/>
          <w:sz w:val="28"/>
          <w:szCs w:val="28"/>
        </w:rPr>
        <w:br w:type="page"/>
      </w: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7D59" w:rsidRPr="005B7D59" w:rsidRDefault="005B7D59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7D59">
        <w:rPr>
          <w:rFonts w:ascii="Times New Roman" w:hAnsi="Times New Roman" w:cs="Times New Roman"/>
          <w:sz w:val="28"/>
          <w:szCs w:val="28"/>
        </w:rPr>
        <w:t> </w:t>
      </w:r>
    </w:p>
    <w:p w:rsidR="008F413C" w:rsidRPr="005B7D59" w:rsidRDefault="00A40E93" w:rsidP="005B7D59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41" w:name="_GoBack"/>
      <w:r>
        <w:rPr>
          <w:noProof/>
        </w:rPr>
        <w:drawing>
          <wp:inline distT="0" distB="0" distL="0" distR="0" wp14:anchorId="1F71C2AB" wp14:editId="6A45E306">
            <wp:extent cx="6152515" cy="4621763"/>
            <wp:effectExtent l="0" t="0" r="635" b="7620"/>
            <wp:docPr id="3" name="Рисунок 3" descr="C:\Users\User\Desktop\Схема д.Чембакчина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 д.Чембакчина ГП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1"/>
    </w:p>
    <w:sectPr w:rsidR="008F413C" w:rsidRPr="005B7D5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617D0"/>
    <w:multiLevelType w:val="multilevel"/>
    <w:tmpl w:val="851C077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45524D"/>
    <w:multiLevelType w:val="multilevel"/>
    <w:tmpl w:val="2A5428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3C7F1C"/>
    <w:multiLevelType w:val="multilevel"/>
    <w:tmpl w:val="59404FD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7A2BC2"/>
    <w:multiLevelType w:val="multilevel"/>
    <w:tmpl w:val="CF522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CE3091"/>
    <w:multiLevelType w:val="multilevel"/>
    <w:tmpl w:val="E1FC40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502DDE"/>
    <w:multiLevelType w:val="multilevel"/>
    <w:tmpl w:val="BB2AF4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7825C4"/>
    <w:multiLevelType w:val="multilevel"/>
    <w:tmpl w:val="25EC478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A51360"/>
    <w:multiLevelType w:val="multilevel"/>
    <w:tmpl w:val="04F447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10523F"/>
    <w:multiLevelType w:val="multilevel"/>
    <w:tmpl w:val="ECF867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224DDF"/>
    <w:multiLevelType w:val="multilevel"/>
    <w:tmpl w:val="77FA24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326795"/>
    <w:multiLevelType w:val="multilevel"/>
    <w:tmpl w:val="3D0084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5"/>
  </w:num>
  <w:num w:numId="6">
    <w:abstractNumId w:val="10"/>
  </w:num>
  <w:num w:numId="7">
    <w:abstractNumId w:val="7"/>
  </w:num>
  <w:num w:numId="8">
    <w:abstractNumId w:val="2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D59"/>
    <w:rsid w:val="005B7D59"/>
    <w:rsid w:val="008F413C"/>
    <w:rsid w:val="00A4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71ADA-C08F-4940-BB7A-95D8C0CE9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7D59"/>
    <w:pPr>
      <w:spacing w:after="0" w:line="240" w:lineRule="auto"/>
    </w:pPr>
  </w:style>
  <w:style w:type="paragraph" w:customStyle="1" w:styleId="nospacing">
    <w:name w:val="nospacing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B7D59"/>
  </w:style>
  <w:style w:type="character" w:styleId="a4">
    <w:name w:val="Hyperlink"/>
    <w:basedOn w:val="a0"/>
    <w:uiPriority w:val="99"/>
    <w:unhideWhenUsed/>
    <w:rsid w:val="005B7D5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B7D59"/>
    <w:rPr>
      <w:color w:val="800080"/>
      <w:u w:val="single"/>
    </w:rPr>
  </w:style>
  <w:style w:type="character" w:customStyle="1" w:styleId="hyperlink">
    <w:name w:val="hyperlink"/>
    <w:basedOn w:val="a0"/>
    <w:rsid w:val="005B7D59"/>
  </w:style>
  <w:style w:type="paragraph" w:styleId="a6">
    <w:name w:val="Normal (Web)"/>
    <w:basedOn w:val="a"/>
    <w:uiPriority w:val="99"/>
    <w:semiHidden/>
    <w:unhideWhenUsed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">
    <w:name w:val="a38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1">
    <w:name w:val="toc1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2">
    <w:name w:val="toc2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3">
    <w:name w:val="toc3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">
    <w:name w:val="footer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1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0">
    <w:name w:val="120"/>
    <w:basedOn w:val="a0"/>
    <w:rsid w:val="005B7D59"/>
  </w:style>
  <w:style w:type="paragraph" w:customStyle="1" w:styleId="13">
    <w:name w:val="13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0">
    <w:name w:val="s0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">
    <w:name w:val="s2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5B7D59"/>
  </w:style>
  <w:style w:type="paragraph" w:customStyle="1" w:styleId="s">
    <w:name w:val="s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3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5B7D59"/>
  </w:style>
  <w:style w:type="paragraph" w:customStyle="1" w:styleId="s4">
    <w:name w:val="s4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bullet">
    <w:name w:val="listbullet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5B7D59"/>
  </w:style>
  <w:style w:type="paragraph" w:customStyle="1" w:styleId="15">
    <w:name w:val="15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indent">
    <w:name w:val="bodytextindent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8">
    <w:name w:val="s8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5B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avo-search.minjust.ru/bigs/login.jsp" TargetMode="External"/><Relationship Id="rId18" Type="http://schemas.openxmlformats.org/officeDocument/2006/relationships/hyperlink" Target="http://pravo-search.minjust.ru/bigs/login.jsp" TargetMode="External"/><Relationship Id="rId26" Type="http://schemas.openxmlformats.org/officeDocument/2006/relationships/hyperlink" Target="http://pravo-search.minjust.ru/bigs/login.jsp" TargetMode="External"/><Relationship Id="rId39" Type="http://schemas.openxmlformats.org/officeDocument/2006/relationships/hyperlink" Target="http://pravo-search.minjust.ru/bigs/login.jsp" TargetMode="External"/><Relationship Id="rId21" Type="http://schemas.openxmlformats.org/officeDocument/2006/relationships/hyperlink" Target="http://pravo-search.minjust.ru/bigs/login.jsp" TargetMode="External"/><Relationship Id="rId34" Type="http://schemas.openxmlformats.org/officeDocument/2006/relationships/hyperlink" Target="http://pravo-search.minjust.ru/bigs/login.jsp" TargetMode="External"/><Relationship Id="rId42" Type="http://schemas.openxmlformats.org/officeDocument/2006/relationships/hyperlink" Target="http://pravo-search.minjust.ru/bigs/login.jsp" TargetMode="External"/><Relationship Id="rId47" Type="http://schemas.openxmlformats.org/officeDocument/2006/relationships/hyperlink" Target="http://pravo-search.minjust.ru/bigs/showDocument.html?id=9CF2F1C3-393D-4051-A52D-9923B0E51C0C" TargetMode="External"/><Relationship Id="rId50" Type="http://schemas.openxmlformats.org/officeDocument/2006/relationships/hyperlink" Target="http://pravo-search.minjust.ru/bigs/showDocument.html?id=D0A5F721-EFE1-45E7-B29A-83B806984C5B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pravo-search.minjust.ru/bigs/showDocument.html?id=80EB3F1A-A11B-4BDD-B133-971EEC813E83" TargetMode="External"/><Relationship Id="rId12" Type="http://schemas.openxmlformats.org/officeDocument/2006/relationships/hyperlink" Target="http://pravo-search.minjust.ru/bigs/login.jsp" TargetMode="External"/><Relationship Id="rId17" Type="http://schemas.openxmlformats.org/officeDocument/2006/relationships/hyperlink" Target="http://pravo-search.minjust.ru/bigs/login.jsp" TargetMode="External"/><Relationship Id="rId25" Type="http://schemas.openxmlformats.org/officeDocument/2006/relationships/hyperlink" Target="http://pravo-search.minjust.ru/bigs/login.jsp" TargetMode="External"/><Relationship Id="rId33" Type="http://schemas.openxmlformats.org/officeDocument/2006/relationships/hyperlink" Target="http://pravo-search.minjust.ru/bigs/login.jsp" TargetMode="External"/><Relationship Id="rId38" Type="http://schemas.openxmlformats.org/officeDocument/2006/relationships/hyperlink" Target="http://pravo-search.minjust.ru/bigs/login.jsp" TargetMode="External"/><Relationship Id="rId46" Type="http://schemas.openxmlformats.org/officeDocument/2006/relationships/hyperlink" Target="http://pravo-search.minjust.ru/bigs/showDocument.html?id=9CF2F1C3-393D-4051-A52D-9923B0E51C0C" TargetMode="External"/><Relationship Id="rId2" Type="http://schemas.openxmlformats.org/officeDocument/2006/relationships/styles" Target="styles.xml"/><Relationship Id="rId16" Type="http://schemas.openxmlformats.org/officeDocument/2006/relationships/hyperlink" Target="http://pravo-search.minjust.ru/bigs/login.jsp" TargetMode="External"/><Relationship Id="rId20" Type="http://schemas.openxmlformats.org/officeDocument/2006/relationships/hyperlink" Target="http://pravo-search.minjust.ru/bigs/login.jsp" TargetMode="External"/><Relationship Id="rId29" Type="http://schemas.openxmlformats.org/officeDocument/2006/relationships/hyperlink" Target="http://pravo-search.minjust.ru/bigs/login.jsp" TargetMode="External"/><Relationship Id="rId41" Type="http://schemas.openxmlformats.org/officeDocument/2006/relationships/hyperlink" Target="http://pravo-search.minjust.ru/bigs/login.jsp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ravo-search.minjust.ru/bigs/showDocument.html?id=A6C9AF8B-FC11-47B1-81FA-369E450F897E" TargetMode="External"/><Relationship Id="rId11" Type="http://schemas.openxmlformats.org/officeDocument/2006/relationships/hyperlink" Target="http://pravo-search.minjust.ru/bigs/login.jsp" TargetMode="External"/><Relationship Id="rId24" Type="http://schemas.openxmlformats.org/officeDocument/2006/relationships/hyperlink" Target="http://pravo-search.minjust.ru/bigs/login.jsp" TargetMode="External"/><Relationship Id="rId32" Type="http://schemas.openxmlformats.org/officeDocument/2006/relationships/hyperlink" Target="http://pravo-search.minjust.ru/bigs/login.jsp" TargetMode="External"/><Relationship Id="rId37" Type="http://schemas.openxmlformats.org/officeDocument/2006/relationships/hyperlink" Target="http://pravo-search.minjust.ru/bigs/login.jsp" TargetMode="External"/><Relationship Id="rId40" Type="http://schemas.openxmlformats.org/officeDocument/2006/relationships/hyperlink" Target="http://pravo-search.minjust.ru/bigs/login.jsp" TargetMode="External"/><Relationship Id="rId45" Type="http://schemas.openxmlformats.org/officeDocument/2006/relationships/hyperlink" Target="http://pravo-search.minjust.ru/bigs/showDocument.html?id=96E20C02-1B12-465A-B64C-24AA92270007" TargetMode="External"/><Relationship Id="rId53" Type="http://schemas.openxmlformats.org/officeDocument/2006/relationships/image" Target="media/image3.jpeg"/><Relationship Id="rId5" Type="http://schemas.openxmlformats.org/officeDocument/2006/relationships/hyperlink" Target="http://pravo-search.minjust.ru/bigs/showDocument.html?id=4F4BE68A-B8DD-4226-B86B-147D7350A873" TargetMode="External"/><Relationship Id="rId15" Type="http://schemas.openxmlformats.org/officeDocument/2006/relationships/hyperlink" Target="http://pravo-search.minjust.ru/bigs/login.jsp" TargetMode="External"/><Relationship Id="rId23" Type="http://schemas.openxmlformats.org/officeDocument/2006/relationships/hyperlink" Target="http://pravo-search.minjust.ru/bigs/login.jsp" TargetMode="External"/><Relationship Id="rId28" Type="http://schemas.openxmlformats.org/officeDocument/2006/relationships/hyperlink" Target="http://pravo-search.minjust.ru/bigs/login.jsp" TargetMode="External"/><Relationship Id="rId36" Type="http://schemas.openxmlformats.org/officeDocument/2006/relationships/hyperlink" Target="http://pravo-search.minjust.ru/bigs/login.jsp" TargetMode="External"/><Relationship Id="rId49" Type="http://schemas.openxmlformats.org/officeDocument/2006/relationships/hyperlink" Target="http://pravo-search.minjust.ru/bigs/showDocument.html?id=0040F7A8-9A0D-4E71-BA36-B348C3CFE439" TargetMode="External"/><Relationship Id="rId10" Type="http://schemas.openxmlformats.org/officeDocument/2006/relationships/hyperlink" Target="http://pravo-search.minjust.ru/bigs/showDocument.html?id=4DE05E56-5748-4884-8006-180774639EEE" TargetMode="External"/><Relationship Id="rId19" Type="http://schemas.openxmlformats.org/officeDocument/2006/relationships/hyperlink" Target="http://pravo-search.minjust.ru/bigs/login.jsp" TargetMode="External"/><Relationship Id="rId31" Type="http://schemas.openxmlformats.org/officeDocument/2006/relationships/hyperlink" Target="http://pravo-search.minjust.ru/bigs/login.jsp" TargetMode="External"/><Relationship Id="rId44" Type="http://schemas.openxmlformats.org/officeDocument/2006/relationships/hyperlink" Target="http://pravo-search.minjust.ru/bigs/showDocument.html?id=387507C3-B80D-4C0D-9291-8CDC81673F2B" TargetMode="External"/><Relationship Id="rId52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pravo-search.minjust.ru/bigs/showDocument.html?id=96E20C02-1B12-465A-B64C-24AA92270007" TargetMode="External"/><Relationship Id="rId14" Type="http://schemas.openxmlformats.org/officeDocument/2006/relationships/hyperlink" Target="http://pravo-search.minjust.ru/bigs/login.jsp" TargetMode="External"/><Relationship Id="rId22" Type="http://schemas.openxmlformats.org/officeDocument/2006/relationships/hyperlink" Target="http://pravo-search.minjust.ru/bigs/login.jsp" TargetMode="External"/><Relationship Id="rId27" Type="http://schemas.openxmlformats.org/officeDocument/2006/relationships/hyperlink" Target="http://pravo-search.minjust.ru/bigs/login.jsp" TargetMode="External"/><Relationship Id="rId30" Type="http://schemas.openxmlformats.org/officeDocument/2006/relationships/hyperlink" Target="http://pravo-search.minjust.ru/bigs/login.jsp" TargetMode="External"/><Relationship Id="rId35" Type="http://schemas.openxmlformats.org/officeDocument/2006/relationships/hyperlink" Target="http://pravo-search.minjust.ru/bigs/login.jsp" TargetMode="External"/><Relationship Id="rId43" Type="http://schemas.openxmlformats.org/officeDocument/2006/relationships/hyperlink" Target="http://pravo-search.minjust.ru/bigs/login.jsp" TargetMode="External"/><Relationship Id="rId48" Type="http://schemas.openxmlformats.org/officeDocument/2006/relationships/hyperlink" Target="http://pravo-search.minjust.ru/bigs/showDocument.html?id=99249E7B-F9C8-4D12-B906-BB583B820A63" TargetMode="External"/><Relationship Id="rId8" Type="http://schemas.openxmlformats.org/officeDocument/2006/relationships/hyperlink" Target="http://pravo-search.minjust.ru/bigs/showDocument.html?id=387507C3-B80D-4C0D-9291-8CDC81673F2B" TargetMode="External"/><Relationship Id="rId51" Type="http://schemas.openxmlformats.org/officeDocument/2006/relationships/image" Target="media/image1.tif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8841</Words>
  <Characters>50394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1233</dc:creator>
  <cp:keywords/>
  <dc:description/>
  <cp:lastModifiedBy>1233</cp:lastModifiedBy>
  <cp:revision>2</cp:revision>
  <dcterms:created xsi:type="dcterms:W3CDTF">2019-02-11T13:54:00Z</dcterms:created>
  <dcterms:modified xsi:type="dcterms:W3CDTF">2019-02-11T14:12:00Z</dcterms:modified>
</cp:coreProperties>
</file>